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Información Organizativa</w:t>
      </w:r>
    </w:p>
    <w:p>
      <w:pPr>
        <w:spacing w:after="280"/>
      </w:pPr>
      <w:r>
        <w:rPr>
          <w:rFonts w:ascii="Arial" w:hAnsi="Arial" w:eastAsia="Arial"/>
          <w:color w:val="525252"/>
          <w:sz w:val="21"/>
        </w:rPr>
        <w:t>Portal de Transparencia · Comunidad de Aguas Tenisca</w:t>
      </w:r>
    </w:p>
    <w:p>
      <w:pPr>
        <w:pStyle w:val="Metadata"/>
      </w:pPr>
      <w:r>
        <w:rPr>
          <w:rFonts w:ascii="Arial" w:hAnsi="Arial" w:eastAsia="Arial"/>
          <w:b/>
          <w:color w:val="000000"/>
          <w:sz w:val="19"/>
        </w:rPr>
        <w:t xml:space="preserve">Entidad: </w:t>
      </w:r>
      <w:r>
        <w:rPr>
          <w:rFonts w:ascii="Arial" w:hAnsi="Arial" w:eastAsia="Arial"/>
          <w:color w:val="525252"/>
          <w:sz w:val="19"/>
        </w:rPr>
        <w:t>Comunidad de Aguas Tenisca</w:t>
      </w:r>
    </w:p>
    <w:p>
      <w:pPr>
        <w:pStyle w:val="Metadata"/>
      </w:pPr>
      <w:r>
        <w:rPr>
          <w:rFonts w:ascii="Arial" w:hAnsi="Arial" w:eastAsia="Arial"/>
          <w:b/>
          <w:color w:val="000000"/>
          <w:sz w:val="19"/>
        </w:rPr>
        <w:t xml:space="preserve">Sección: </w:t>
      </w:r>
      <w:r>
        <w:rPr>
          <w:rFonts w:ascii="Arial" w:hAnsi="Arial" w:eastAsia="Arial"/>
          <w:color w:val="525252"/>
          <w:sz w:val="19"/>
        </w:rPr>
        <w:t>Información Organizativa</w:t>
      </w:r>
    </w:p>
    <w:p>
      <w:pPr>
        <w:pStyle w:val="Metadata"/>
      </w:pPr>
      <w:r>
        <w:rPr>
          <w:rFonts w:ascii="Arial" w:hAnsi="Arial" w:eastAsia="Arial"/>
          <w:b/>
          <w:color w:val="000000"/>
          <w:sz w:val="19"/>
        </w:rPr>
        <w:t xml:space="preserve">URL original: </w:t>
      </w:r>
      <w:hyperlink r:id="rId9">
        <w:r>
          <w:rPr>
            <w:color w:val="0563C1"/>
            <w:u w:val="single"/>
            <w:rFonts w:ascii="Arial" w:hAnsi="Arial"/>
          </w:rPr>
          <w:t xml:space="preserve">https://tenisca.es/informacion-organizativa/</w:t>
        </w:r>
      </w:hyperlink>
    </w:p>
    <w:p>
      <w:pPr>
        <w:pStyle w:val="Metadata"/>
        <w:spacing w:after="280"/>
      </w:pPr>
      <w:r>
        <w:rPr>
          <w:rFonts w:ascii="Arial" w:hAnsi="Arial" w:eastAsia="Arial"/>
          <w:b/>
          <w:color w:val="000000"/>
          <w:sz w:val="19"/>
        </w:rPr>
        <w:t xml:space="preserve">Fecha de elaboración: </w:t>
      </w:r>
      <w:r>
        <w:rPr>
          <w:rFonts w:ascii="Arial" w:hAnsi="Arial" w:eastAsia="Arial"/>
          <w:color w:val="525252"/>
          <w:sz w:val="19"/>
        </w:rPr>
        <w:t>19/10/2026</w:t>
      </w:r>
    </w:p>
    <w:p>
      <w:pPr>
        <w:spacing w:after="280"/>
      </w:pPr>
      <w:r>
        <w:rPr>
          <w:rFonts w:ascii="Arial" w:hAnsi="Arial" w:eastAsia="Arial"/>
          <w:color w:val="525252"/>
          <w:sz w:val="21"/>
        </w:rPr>
        <w:t>Este documento recoge la información publicada en el Portal de Transparencia de la Comunidad de Aguas Tenisca en la sección «Información Organizativa», correspondiente a la normativa aplicable, las funciones, la estructura de gobierno y la contratación de personal. Se genera en cumplimiento de los requisitos de publicidad activa establecidos por la Ley 12/2014, de 26 de diciembre, de transparencia y de acceso a la información pública de Canarias, y facilita su consulta en un formato reutilizable.</w:t>
      </w:r>
    </w:p>
    <w:p>
      <w:pPr>
        <w:pStyle w:val="Heading1"/>
        <w:spacing w:after="240"/>
      </w:pPr>
      <w:r>
        <w:t>Contenido de la sección</w:t>
      </w:r>
    </w:p>
    <w:p>
      <w:pPr>
        <w:spacing w:after="100"/>
      </w:pPr>
      <w:r>
        <w:rPr>
          <w:rFonts w:ascii="Arial" w:hAnsi="Arial" w:eastAsia="Arial"/>
          <w:b/>
          <w:color w:val="409CC7"/>
          <w:sz w:val="21"/>
        </w:rPr>
        <w:t>Actualizado a fecha de 16 de Octubre de 2026</w:t>
      </w:r>
    </w:p>
    <w:p>
      <w:pPr>
        <w:pStyle w:val="Heading2"/>
      </w:pPr>
      <w:r>
        <w:t>Normativa aplicable a la entidad</w:t>
      </w:r>
    </w:p>
    <w:p>
      <w:pPr>
        <w:keepLines w:val="0"/>
      </w:pPr>
      <w:r>
        <w:rPr>
          <w:rFonts w:ascii="Arial" w:hAnsi="Arial" w:eastAsia="Arial"/>
          <w:b w:val="0"/>
          <w:i w:val="0"/>
          <w:color w:val="525252"/>
          <w:sz w:val="21"/>
        </w:rPr>
        <w:t>“ La normativa que rige la actividad de la Comunidad de Aguas Tenisca, en la prestación de los servicios que constituyen su objeto principal, es muy numerosa y extensa, encontrándose sujeta entre otras disposiciones, a las siguientes:</w:t>
      </w:r>
    </w:p>
    <w:p>
      <w:pPr>
        <w:pStyle w:val="ListBullet"/>
        <w:ind w:left="397" w:hanging="198"/>
      </w:pPr>
      <w:hyperlink r:id="rId10">
        <w:r>
          <w:rPr>
            <w:color w:val="0563C1"/>
            <w:u w:val="single"/>
            <w:rFonts w:ascii="Arial" w:hAnsi="Arial"/>
          </w:rPr>
          <w:t xml:space="preserve">Ley de 27 de diciembre de 1956, de Heredamientos de Aguas del Archipiélago Canario. </w:t>
        </w:r>
      </w:hyperlink>
    </w:p>
    <w:p>
      <w:pPr>
        <w:pStyle w:val="ListBullet"/>
        <w:ind w:left="397" w:hanging="198"/>
      </w:pPr>
      <w:hyperlink r:id="rId11">
        <w:r>
          <w:rPr>
            <w:color w:val="0563C1"/>
            <w:u w:val="single"/>
            <w:rFonts w:ascii="Arial" w:hAnsi="Arial"/>
          </w:rPr>
          <w:t xml:space="preserve">Estatutos de la Comunidad de Aguas Tenisca.</w:t>
        </w:r>
      </w:hyperlink>
    </w:p>
    <w:p>
      <w:pPr>
        <w:pStyle w:val="ListBullet"/>
        <w:ind w:left="397" w:hanging="198"/>
      </w:pPr>
      <w:hyperlink r:id="rId12">
        <w:r>
          <w:rPr>
            <w:color w:val="0563C1"/>
            <w:u w:val="single"/>
            <w:rFonts w:ascii="Arial" w:hAnsi="Arial"/>
          </w:rPr>
          <w:t xml:space="preserve">Real Decreto 849/1986, de 11 de abril, por el que se aprueba el Reglamento del Dominio Público Hidráulico que desarrolla los títulos preliminar, I, IV, V, VI, VII y VIII del texto refundido de la Ley de Aguas, aprobado por el Real Decreto Legislativo 1/2001, de 20 de julio.</w:t>
        </w:r>
      </w:hyperlink>
    </w:p>
    <w:p>
      <w:pPr>
        <w:pStyle w:val="ListBullet"/>
        <w:ind w:left="397" w:hanging="198"/>
      </w:pPr>
      <w:hyperlink r:id="rId13">
        <w:r>
          <w:rPr>
            <w:color w:val="0563C1"/>
            <w:u w:val="single"/>
            <w:rFonts w:ascii="Arial" w:hAnsi="Arial"/>
          </w:rPr>
          <w:t xml:space="preserve">Ley 22/88 de 28 de julio, de Costas.</w:t>
        </w:r>
      </w:hyperlink>
    </w:p>
    <w:p>
      <w:pPr>
        <w:pStyle w:val="ListBullet"/>
        <w:ind w:left="397" w:hanging="198"/>
      </w:pPr>
      <w:hyperlink r:id="rId14">
        <w:r>
          <w:rPr>
            <w:color w:val="0563C1"/>
            <w:u w:val="single"/>
            <w:rFonts w:ascii="Arial" w:hAnsi="Arial"/>
          </w:rPr>
          <w:t xml:space="preserve">Ley 12/1990, de 26 de julio, de Aguas de Canarias.</w:t>
        </w:r>
      </w:hyperlink>
    </w:p>
    <w:p>
      <w:pPr>
        <w:pStyle w:val="ListBullet"/>
        <w:ind w:left="397" w:hanging="198"/>
      </w:pPr>
      <w:hyperlink r:id="rId15">
        <w:r>
          <w:rPr>
            <w:color w:val="0563C1"/>
            <w:u w:val="single"/>
            <w:rFonts w:ascii="Arial" w:hAnsi="Arial"/>
          </w:rPr>
          <w:t xml:space="preserve">Decreto 276/1993 de 8 de octubre, de Reglamento Sancionador en materia de Aguas.</w:t>
        </w:r>
      </w:hyperlink>
    </w:p>
    <w:p>
      <w:pPr>
        <w:pStyle w:val="ListBullet"/>
        <w:ind w:left="397" w:hanging="198"/>
      </w:pPr>
      <w:hyperlink r:id="rId16">
        <w:r>
          <w:rPr>
            <w:color w:val="0563C1"/>
            <w:u w:val="single"/>
            <w:rFonts w:ascii="Arial" w:hAnsi="Arial"/>
          </w:rPr>
          <w:t xml:space="preserve">Decreto 174/1994, de 29 de julio, por el que se aprueba el Reglamento de Control de Vertidos para la Protección del Dominio Público Hidráulico.</w:t>
        </w:r>
      </w:hyperlink>
    </w:p>
    <w:p>
      <w:pPr>
        <w:pStyle w:val="ListBullet"/>
        <w:ind w:left="397" w:hanging="198"/>
      </w:pPr>
      <w:hyperlink r:id="rId17">
        <w:r>
          <w:rPr>
            <w:color w:val="0563C1"/>
            <w:u w:val="single"/>
            <w:rFonts w:ascii="Arial" w:hAnsi="Arial"/>
          </w:rPr>
          <w:t xml:space="preserve">Decreto 49/2000 de 10 de abril, por el que se determinan las masas de agua afectadas por la contaminación de nitratos de origen agrario, y se designan las zonas vulnerables por dicha contaminación.</w:t>
        </w:r>
      </w:hyperlink>
    </w:p>
    <w:p>
      <w:pPr>
        <w:pStyle w:val="ListBullet"/>
        <w:ind w:left="397" w:hanging="198"/>
      </w:pPr>
      <w:hyperlink r:id="rId18">
        <w:r>
          <w:rPr>
            <w:color w:val="0563C1"/>
            <w:u w:val="single"/>
            <w:rFonts w:ascii="Arial" w:hAnsi="Arial"/>
          </w:rPr>
          <w:t xml:space="preserve">Ley 10/2001 de 5 de julio, del Plan Hidrológico Nacional.</w:t>
        </w:r>
      </w:hyperlink>
    </w:p>
    <w:p>
      <w:pPr>
        <w:pStyle w:val="ListBullet"/>
        <w:ind w:left="397" w:hanging="198"/>
      </w:pPr>
      <w:hyperlink r:id="rId19">
        <w:r>
          <w:rPr>
            <w:color w:val="0563C1"/>
            <w:u w:val="single"/>
            <w:rFonts w:ascii="Arial" w:hAnsi="Arial"/>
          </w:rPr>
          <w:t xml:space="preserve">Real Decreto Legislativo 1/2001, de 20 de julio, por el que se aprueba el Texto Refundido de la Ley de Aguas.</w:t>
        </w:r>
      </w:hyperlink>
    </w:p>
    <w:p>
      <w:pPr>
        <w:pStyle w:val="ListBullet"/>
        <w:ind w:left="397" w:hanging="198"/>
      </w:pPr>
      <w:hyperlink r:id="rId20">
        <w:r>
          <w:rPr>
            <w:color w:val="0563C1"/>
            <w:u w:val="single"/>
            <w:rFonts w:ascii="Arial" w:hAnsi="Arial"/>
          </w:rPr>
          <w:t xml:space="preserve">Decreto 86/2002, de 2 de julio, por el que se aprueba el Reglamento de Dominio Público Hidráulico.</w:t>
        </w:r>
      </w:hyperlink>
    </w:p>
    <w:p>
      <w:pPr>
        <w:pStyle w:val="ListBullet"/>
        <w:ind w:left="397" w:hanging="198"/>
      </w:pPr>
      <w:hyperlink r:id="rId21">
        <w:r>
          <w:rPr>
            <w:color w:val="0563C1"/>
            <w:u w:val="single"/>
            <w:rFonts w:ascii="Arial" w:hAnsi="Arial"/>
          </w:rPr>
          <w:t xml:space="preserve">Reglamento de Aforos de Galerías, Pozos y Nacientes, aprobado por Acuerdo de la Junta General del Consejo Insular de Aguas de La Palma, de 11 de noviembre de 2004.</w:t>
        </w:r>
      </w:hyperlink>
    </w:p>
    <w:p>
      <w:pPr>
        <w:pStyle w:val="ListBullet"/>
        <w:ind w:left="397" w:hanging="198"/>
      </w:pPr>
      <w:hyperlink r:id="rId22">
        <w:r>
          <w:rPr>
            <w:color w:val="0563C1"/>
            <w:u w:val="single"/>
            <w:rFonts w:ascii="Arial" w:hAnsi="Arial"/>
          </w:rPr>
          <w:t xml:space="preserve">Real Decreto 907/2007 de 6 de julio, por el que se aprueba el Reglamento de la Planificación Hidrológica.</w:t>
        </w:r>
      </w:hyperlink>
    </w:p>
    <w:p>
      <w:pPr>
        <w:pStyle w:val="ListBullet"/>
        <w:ind w:left="397" w:hanging="198"/>
      </w:pPr>
      <w:hyperlink r:id="rId23">
        <w:r>
          <w:rPr>
            <w:color w:val="0563C1"/>
            <w:u w:val="single"/>
            <w:rFonts w:ascii="Arial" w:hAnsi="Arial"/>
          </w:rPr>
          <w:t xml:space="preserve">Real Decreto 1620/2007 de 7 de diciembre, por el que se establece el régimen jurídico de la reutilización de las aguas depuradas.</w:t>
        </w:r>
      </w:hyperlink>
    </w:p>
    <w:p>
      <w:pPr>
        <w:pStyle w:val="ListBullet"/>
        <w:ind w:left="397" w:hanging="198"/>
      </w:pPr>
      <w:hyperlink r:id="rId24">
        <w:r>
          <w:rPr>
            <w:color w:val="0563C1"/>
            <w:u w:val="single"/>
            <w:rFonts w:ascii="Arial" w:hAnsi="Arial"/>
          </w:rPr>
          <w:t xml:space="preserve">Decreto 232/2008 de 25 de noviembre, por el que se regula la seguridad de las personas en las obras e instalaciones hidráulicas de Canarias.</w:t>
        </w:r>
      </w:hyperlink>
    </w:p>
    <w:p>
      <w:pPr>
        <w:pStyle w:val="ListBullet"/>
        <w:ind w:left="397" w:hanging="198"/>
      </w:pPr>
      <w:hyperlink r:id="rId25">
        <w:r>
          <w:rPr>
            <w:color w:val="0563C1"/>
            <w:u w:val="single"/>
            <w:rFonts w:ascii="Arial" w:hAnsi="Arial"/>
          </w:rPr>
          <w:t xml:space="preserve">Real Decreto 1514/2009 de 2 de octubre, por el que se regula la protección de las aguas subterráneas contra la contaminación y el deterioro.</w:t>
        </w:r>
      </w:hyperlink>
    </w:p>
    <w:p>
      <w:pPr>
        <w:pStyle w:val="ListBullet"/>
        <w:ind w:left="397" w:hanging="198"/>
      </w:pPr>
      <w:hyperlink r:id="rId26">
        <w:r>
          <w:rPr>
            <w:color w:val="0563C1"/>
            <w:u w:val="single"/>
            <w:rFonts w:ascii="Arial" w:hAnsi="Arial"/>
          </w:rPr>
          <w:t xml:space="preserve">Real Decreto 903/2010 de 9 de julio, de evaluación y gestión de riesgos de inundación.</w:t>
        </w:r>
      </w:hyperlink>
    </w:p>
    <w:p>
      <w:pPr>
        <w:pStyle w:val="ListBullet"/>
        <w:ind w:left="397" w:hanging="198"/>
      </w:pPr>
      <w:hyperlink r:id="rId27">
        <w:r>
          <w:rPr>
            <w:color w:val="0563C1"/>
            <w:u w:val="single"/>
            <w:rFonts w:ascii="Arial" w:hAnsi="Arial"/>
          </w:rPr>
          <w:t xml:space="preserve">Real Decreto 876/2014, de 10 de octubre, por el que se aprueba el Reglamento General de Costas.</w:t>
        </w:r>
      </w:hyperlink>
    </w:p>
    <w:p>
      <w:pPr>
        <w:pStyle w:val="ListBullet"/>
        <w:ind w:left="397" w:hanging="198"/>
      </w:pPr>
      <w:hyperlink r:id="rId28">
        <w:r>
          <w:rPr>
            <w:color w:val="0563C1"/>
            <w:u w:val="single"/>
            <w:rFonts w:ascii="Arial" w:hAnsi="Arial"/>
          </w:rPr>
          <w:t xml:space="preserve">Decreto 165/2015 de 3 de julio, por el que se aprueba la instrucción de Planificación Hidrológica para las Demarcaciones Hidrográficas Intracomunitarias de la Comunidad Autónoma de Canarias</w:t>
        </w:r>
      </w:hyperlink>
    </w:p>
    <w:p>
      <w:pPr>
        <w:pStyle w:val="ListBullet"/>
        <w:ind w:left="397" w:hanging="198"/>
      </w:pPr>
      <w:hyperlink r:id="rId29">
        <w:r>
          <w:rPr>
            <w:color w:val="0563C1"/>
            <w:u w:val="single"/>
            <w:rFonts w:ascii="Arial" w:hAnsi="Arial"/>
          </w:rPr>
          <w:t xml:space="preserve">Real Decreto 817/2015, de 11 de septiembre, por el que se establecen los criterios de seguimiento y evaluación del estado de las aguas superficiales y las normas de calidad ambiental.</w:t>
        </w:r>
      </w:hyperlink>
    </w:p>
    <w:p>
      <w:pPr>
        <w:pStyle w:val="ListBullet"/>
        <w:ind w:left="397" w:hanging="198"/>
      </w:pPr>
      <w:hyperlink r:id="rId30">
        <w:r>
          <w:rPr>
            <w:color w:val="0563C1"/>
            <w:u w:val="single"/>
            <w:rFonts w:ascii="Arial" w:hAnsi="Arial"/>
          </w:rPr>
          <w:t xml:space="preserve">Plan Hidrológico Insular de La Palma (2º Ciclo), aprobado por Decreto 169/2018 de 26 de noviembre.</w:t>
        </w:r>
      </w:hyperlink>
    </w:p>
    <w:p>
      <w:pPr>
        <w:keepLines w:val="0"/>
      </w:pPr>
      <w:r>
        <w:rPr>
          <w:rFonts w:ascii="Arial" w:hAnsi="Arial" w:eastAsia="Arial"/>
          <w:b w:val="0"/>
          <w:i w:val="0"/>
          <w:color w:val="525252"/>
          <w:sz w:val="21"/>
        </w:rPr>
        <w:t>———————</w:t>
      </w:r>
    </w:p>
    <w:p>
      <w:pPr>
        <w:pStyle w:val="ListBullet"/>
        <w:ind w:left="397" w:hanging="198"/>
      </w:pPr>
      <w:hyperlink r:id="rId31">
        <w:r>
          <w:rPr>
            <w:color w:val="0563C1"/>
            <w:u w:val="single"/>
            <w:rFonts w:ascii="Arial" w:hAnsi="Arial"/>
          </w:rPr>
          <w:t xml:space="preserve">Real Decreto 842/2002, de 2 de agosto, por el que se aprueba el Reglamento Electrotécnico para Baja Tensión.</w:t>
        </w:r>
      </w:hyperlink>
    </w:p>
    <w:p>
      <w:pPr>
        <w:pStyle w:val="ListBullet"/>
        <w:ind w:left="397" w:hanging="198"/>
      </w:pPr>
      <w:hyperlink r:id="rId32">
        <w:r>
          <w:rPr>
            <w:color w:val="0563C1"/>
            <w:u w:val="single"/>
            <w:rFonts w:ascii="Arial" w:hAnsi="Arial"/>
          </w:rPr>
          <w:t xml:space="preserve">Instrucciones Técnicas Complementarias ITC-BT, aprobadas  el mismo Real Decreto 842/2002, de 2 de agosto.</w:t>
        </w:r>
      </w:hyperlink>
    </w:p>
    <w:p>
      <w:pPr>
        <w:pStyle w:val="ListBullet"/>
        <w:ind w:left="397" w:hanging="198"/>
      </w:pPr>
      <w:hyperlink r:id="rId33">
        <w:r>
          <w:rPr>
            <w:color w:val="0563C1"/>
            <w:u w:val="single"/>
            <w:rFonts w:ascii="Arial" w:hAnsi="Arial"/>
          </w:rPr>
          <w:t xml:space="preserve">Ley 19/2013, de 09 de diciembre, de transparencia, acceso a la información pública y buen gobierno. </w:t>
        </w:r>
      </w:hyperlink>
    </w:p>
    <w:p>
      <w:pPr>
        <w:pStyle w:val="ListBullet"/>
        <w:ind w:left="397" w:hanging="198"/>
      </w:pPr>
      <w:hyperlink r:id="rId34">
        <w:r>
          <w:rPr>
            <w:color w:val="0563C1"/>
            <w:u w:val="single"/>
            <w:rFonts w:ascii="Arial" w:hAnsi="Arial"/>
          </w:rPr>
          <w:t xml:space="preserve">Ley 12/2014, de 26 de diciembre, de transparencia y de acceso a la información pública de la Comunidad Autónoma Canaria. </w:t>
        </w:r>
      </w:hyperlink>
    </w:p>
    <w:p>
      <w:pPr>
        <w:pStyle w:val="ListBullet"/>
        <w:ind w:left="397" w:hanging="198"/>
      </w:pPr>
      <w:hyperlink r:id="rId35">
        <w:r>
          <w:rPr>
            <w:color w:val="0563C1"/>
            <w:u w:val="single"/>
            <w:rFonts w:ascii="Arial" w:hAnsi="Arial"/>
          </w:rPr>
          <w:t xml:space="preserve">Ley Orgánica 3/2018, de 5 de diciembre, de Protección de Datos Personales y garantía de los derechos digitales (LOPDGDD). </w:t>
        </w:r>
      </w:hyperlink>
    </w:p>
    <w:p>
      <w:pPr>
        <w:pStyle w:val="ListBullet"/>
        <w:ind w:left="397" w:hanging="198"/>
      </w:pPr>
      <w:hyperlink r:id="rId36">
        <w:r>
          <w:rPr>
            <w:color w:val="0563C1"/>
            <w:u w:val="single"/>
            <w:rFonts w:ascii="Arial" w:hAnsi="Arial"/>
          </w:rPr>
          <w:t xml:space="preserve">Reglamento (UE) 2016/679 del Parlamento Europeo y del Consejo, de 27 de abril de 2016, (Reglamento general de protección de datos, RGPD)</w:t>
        </w:r>
      </w:hyperlink>
    </w:p>
    <w:p>
      <w:pPr>
        <w:pStyle w:val="ListBullet"/>
        <w:ind w:left="397" w:hanging="198"/>
      </w:pPr>
      <w:hyperlink r:id="rId37">
        <w:r>
          <w:rPr>
            <w:color w:val="0563C1"/>
            <w:u w:val="single"/>
            <w:rFonts w:ascii="Arial" w:hAnsi="Arial"/>
          </w:rPr>
          <w:t xml:space="preserve">Ley 38/2003, de 17 de noviembre, General de Subvenciones.</w:t>
        </w:r>
      </w:hyperlink>
    </w:p>
    <w:p>
      <w:pPr>
        <w:pStyle w:val="ListBullet"/>
        <w:ind w:left="397" w:hanging="198"/>
      </w:pPr>
      <w:hyperlink r:id="rId38">
        <w:r>
          <w:rPr>
            <w:color w:val="0563C1"/>
            <w:u w:val="single"/>
            <w:rFonts w:ascii="Arial" w:hAnsi="Arial"/>
          </w:rPr>
          <w:t xml:space="preserve">Ley 34/2002, de 11 de julio, de Servicios de la Sociedad de la Información y de Comercio electrónico (LSSI-CE).</w:t>
        </w:r>
      </w:hyperlink>
    </w:p>
    <w:p>
      <w:pPr>
        <w:pStyle w:val="ListBullet"/>
        <w:ind w:left="397" w:hanging="198"/>
      </w:pPr>
      <w:hyperlink r:id="rId39">
        <w:r>
          <w:rPr>
            <w:color w:val="0563C1"/>
            <w:u w:val="single"/>
            <w:rFonts w:ascii="Arial" w:hAnsi="Arial"/>
          </w:rPr>
          <w:t xml:space="preserve">Ley 2/2023, de 20 de febrero, reguladora de la protección de las personas que informen sobre infracciones normativas de lucha contra la corrupción.</w:t>
        </w:r>
      </w:hyperlink>
    </w:p>
    <w:p>
      <w:pPr>
        <w:pStyle w:val="ListBullet"/>
        <w:ind w:left="397" w:hanging="198"/>
      </w:pPr>
      <w:hyperlink r:id="rId40">
        <w:r>
          <w:rPr>
            <w:color w:val="0563C1"/>
            <w:u w:val="single"/>
            <w:rFonts w:ascii="Arial" w:hAnsi="Arial"/>
          </w:rPr>
          <w:t xml:space="preserve">Ley 10/2010, de 28 de abril, de prevención del blanqueo de capitales y de la financiación del terrorismo.</w:t>
        </w:r>
      </w:hyperlink>
    </w:p>
    <w:p>
      <w:pPr>
        <w:pStyle w:val="Heading2"/>
      </w:pPr>
      <w:r>
        <w:t>Información relativa a las funciones y competencias, al objeto social o al fin fundacional de la entidad</w:t>
      </w:r>
    </w:p>
    <w:p>
      <w:pPr>
        <w:pStyle w:val="Heading3"/>
      </w:pPr>
      <w:r>
        <w:t>Funciones y Competencias</w:t>
      </w:r>
    </w:p>
    <w:p>
      <w:pPr>
        <w:keepLines w:val="0"/>
      </w:pPr>
      <w:r>
        <w:rPr>
          <w:rFonts w:ascii="Arial" w:hAnsi="Arial" w:eastAsia="Arial"/>
          <w:b w:val="0"/>
          <w:i w:val="0"/>
          <w:color w:val="525252"/>
          <w:sz w:val="21"/>
        </w:rPr>
        <w:t>La finalidad u objeto de la COMUNIDAD DE AGUAS TENISCA, es la investigación, alumbramiento, canalización y distribución de aguas destinadas al riego y fundamentalmente, la elevación, explotación, transporte y distribución de las aguas de los pozos de la Comunidad, con todos sus elementos y accesorios.</w:t>
      </w:r>
    </w:p>
    <w:p>
      <w:pPr>
        <w:keepLines w:val="0"/>
      </w:pPr>
      <w:r>
        <w:rPr>
          <w:rFonts w:ascii="Arial" w:hAnsi="Arial" w:eastAsia="Arial"/>
          <w:b w:val="0"/>
          <w:i w:val="0"/>
          <w:color w:val="525252"/>
          <w:sz w:val="21"/>
        </w:rPr>
        <w:t>La Comunidad de Aguas, se regirá por sus Estatutos, quedando sometida en lo no previsto a las disposiciones legales que sean de aplicación, sometiéndose expresamente a las normas que la Ley especial para Canarias de 27 de Diciembre de 1956 establece, para que tenga personalidad distinta a la de los comuneros.</w:t>
      </w:r>
    </w:p>
    <w:p>
      <w:pPr>
        <w:keepLines w:val="0"/>
      </w:pPr>
      <w:r>
        <w:rPr>
          <w:rFonts w:ascii="Arial" w:hAnsi="Arial" w:eastAsia="Arial"/>
          <w:b w:val="0"/>
          <w:i w:val="0"/>
          <w:color w:val="525252"/>
          <w:sz w:val="21"/>
        </w:rPr>
        <w:t>Los objetivos de futuro de la empresa pasan por consolidarse como un referente dentro del sector del agua y el medio ambiente en el Valle de Aridane, en la continua mejora en garantía de servicio y calidad de las infraestructuras que gestiona de captación, producción, transporte, y distribución, que exigen mayores demandas en un futuro cercano.</w:t>
      </w:r>
    </w:p>
    <w:p>
      <w:pPr>
        <w:pStyle w:val="Heading2"/>
      </w:pPr>
      <w:r>
        <w:t>Organigrama de la entidad</w:t>
      </w:r>
    </w:p>
    <w:p>
      <w:pPr>
        <w:keepLines w:val="0"/>
      </w:pPr>
      <w:r>
        <w:rPr>
          <w:rFonts w:ascii="Arial" w:hAnsi="Arial" w:eastAsia="Arial"/>
          <w:b w:val="0"/>
          <w:i w:val="0"/>
          <w:color w:val="525252"/>
          <w:sz w:val="21"/>
        </w:rPr>
        <w:t>A continuación se muestra el organigrama de la Comunidad de Aguas Tenisca</w:t>
      </w:r>
    </w:p>
    <w:p>
      <w:pPr>
        <w:spacing w:before="100" w:after="160"/>
        <w:jc w:val="center"/>
      </w:pPr>
      <w:r>
        <w:drawing>
          <wp:inline xmlns:a="http://schemas.openxmlformats.org/drawingml/2006/main" xmlns:pic="http://schemas.openxmlformats.org/drawingml/2006/picture">
            <wp:extent cx="5669280" cy="4251960"/>
            <wp:docPr id="1" name="Picture 1" descr="Organigrama de la Comunidad de Aguas Tenisca"/>
            <wp:cNvGraphicFramePr>
              <a:graphicFrameLocks noChangeAspect="1"/>
            </wp:cNvGraphicFramePr>
            <a:graphic>
              <a:graphicData uri="http://schemas.openxmlformats.org/drawingml/2006/picture">
                <pic:pic>
                  <pic:nvPicPr>
                    <pic:cNvPr id="0" name="organigrama.png"/>
                    <pic:cNvPicPr/>
                  </pic:nvPicPr>
                  <pic:blipFill>
                    <a:blip r:embed="rId41"/>
                    <a:stretch>
                      <a:fillRect/>
                    </a:stretch>
                  </pic:blipFill>
                  <pic:spPr>
                    <a:xfrm>
                      <a:off x="0" y="0"/>
                      <a:ext cx="5669280" cy="4251960"/>
                    </a:xfrm>
                    <a:prstGeom prst="rect"/>
                  </pic:spPr>
                </pic:pic>
              </a:graphicData>
            </a:graphic>
          </wp:inline>
        </w:drawing>
      </w:r>
    </w:p>
    <w:p>
      <w:pPr>
        <w:keepLines w:val="0"/>
      </w:pPr>
      <w:r>
        <w:rPr>
          <w:rFonts w:ascii="Arial" w:hAnsi="Arial" w:eastAsia="Arial"/>
          <w:b/>
          <w:i w:val="0"/>
          <w:color w:val="525252"/>
          <w:sz w:val="21"/>
        </w:rPr>
        <w:t xml:space="preserve">Presidente: Antonio Javier Luis Brito </w:t>
      </w:r>
      <w:r>
        <w:rPr>
          <w:rFonts w:ascii="Arial" w:hAnsi="Arial" w:eastAsia="Arial"/>
          <w:b w:val="0"/>
          <w:i w:val="0"/>
          <w:color w:val="525252"/>
          <w:sz w:val="21"/>
        </w:rPr>
        <w:t>– Licenciatura en Administración y Dirección de Empresas y Máster en Auditoría de Cuentas</w:t>
      </w:r>
      <w:r>
        <w:br/>
      </w:r>
      <w:r>
        <w:rPr>
          <w:rFonts w:ascii="Arial" w:hAnsi="Arial" w:eastAsia="Arial"/>
          <w:b w:val="0"/>
          <w:i w:val="0"/>
          <w:color w:val="525252"/>
          <w:sz w:val="21"/>
        </w:rPr>
        <w:t>El presidente ostenta la máxima representación de la Entidad y le corresponde convocar y dirigir las reuniones de la Entidad y cuantas funciones le atribuyan la ley o los estatutos de la Entidad.</w:t>
      </w:r>
    </w:p>
    <w:p>
      <w:pPr>
        <w:keepLines w:val="0"/>
      </w:pPr>
      <w:r>
        <w:rPr>
          <w:rFonts w:ascii="Arial" w:hAnsi="Arial" w:eastAsia="Arial"/>
          <w:b/>
          <w:i w:val="0"/>
          <w:color w:val="525252"/>
          <w:sz w:val="21"/>
        </w:rPr>
        <w:t xml:space="preserve">Vicepresidente: José Alberto Pais Rodríguez </w:t>
      </w:r>
      <w:r>
        <w:rPr>
          <w:rFonts w:ascii="Arial" w:hAnsi="Arial" w:eastAsia="Arial"/>
          <w:b w:val="0"/>
          <w:i w:val="0"/>
          <w:color w:val="525252"/>
          <w:sz w:val="21"/>
        </w:rPr>
        <w:t>– Transportista y Agricultor</w:t>
      </w:r>
      <w:r>
        <w:br/>
      </w:r>
      <w:r>
        <w:rPr>
          <w:rFonts w:ascii="Arial" w:hAnsi="Arial" w:eastAsia="Arial"/>
          <w:b w:val="0"/>
          <w:i w:val="0"/>
          <w:color w:val="525252"/>
          <w:sz w:val="21"/>
        </w:rPr>
        <w:t xml:space="preserve">El vicepresidente sustituye al presidente en caso de vacante, ausencia o enfermedad. </w:t>
      </w:r>
    </w:p>
    <w:p>
      <w:pPr>
        <w:keepLines w:val="0"/>
      </w:pPr>
      <w:r>
        <w:rPr>
          <w:rFonts w:ascii="Arial" w:hAnsi="Arial" w:eastAsia="Arial"/>
          <w:b/>
          <w:i w:val="0"/>
          <w:color w:val="525252"/>
          <w:sz w:val="21"/>
        </w:rPr>
        <w:t xml:space="preserve">Secretario: Urbano Fernández Fernández </w:t>
      </w:r>
      <w:r>
        <w:rPr>
          <w:rFonts w:ascii="Arial" w:hAnsi="Arial" w:eastAsia="Arial"/>
          <w:b w:val="0"/>
          <w:i w:val="0"/>
          <w:color w:val="525252"/>
          <w:sz w:val="21"/>
        </w:rPr>
        <w:t>– Ingeniero Agrónomo y Gerente de Hros. Morales Arzol</w:t>
      </w:r>
      <w:r>
        <w:br/>
      </w:r>
      <w:r>
        <w:rPr>
          <w:rFonts w:ascii="Arial" w:hAnsi="Arial" w:eastAsia="Arial"/>
          <w:b w:val="0"/>
          <w:i w:val="0"/>
          <w:color w:val="525252"/>
          <w:sz w:val="21"/>
        </w:rPr>
        <w:t>El secretario es el encargado de levantar las actas de las sesiones de la Entidad y de expedir las certificaciones de sus acuerdos con el visto bueno del presidente.</w:t>
      </w:r>
    </w:p>
    <w:p>
      <w:pPr>
        <w:keepLines w:val="0"/>
      </w:pPr>
      <w:r>
        <w:rPr>
          <w:rFonts w:ascii="Arial" w:hAnsi="Arial" w:eastAsia="Arial"/>
          <w:b/>
          <w:i w:val="0"/>
          <w:color w:val="525252"/>
          <w:sz w:val="21"/>
        </w:rPr>
        <w:t xml:space="preserve">Tesorero: Miguel Ángel Pais Rodríguez </w:t>
      </w:r>
      <w:r>
        <w:rPr>
          <w:rFonts w:ascii="Arial" w:hAnsi="Arial" w:eastAsia="Arial"/>
          <w:b w:val="0"/>
          <w:i w:val="0"/>
          <w:color w:val="525252"/>
          <w:sz w:val="21"/>
        </w:rPr>
        <w:t>– Agricultor</w:t>
      </w:r>
      <w:r>
        <w:br/>
      </w:r>
      <w:r>
        <w:rPr>
          <w:rFonts w:ascii="Arial" w:hAnsi="Arial" w:eastAsia="Arial"/>
          <w:b w:val="0"/>
          <w:i w:val="0"/>
          <w:color w:val="525252"/>
          <w:sz w:val="21"/>
        </w:rPr>
        <w:t>El tesorero tiene la responsabilidad de administrar los fondos y recursos financieros de la Entidad.</w:t>
      </w:r>
    </w:p>
    <w:p>
      <w:pPr>
        <w:keepLines w:val="0"/>
      </w:pPr>
      <w:r>
        <w:rPr>
          <w:rFonts w:ascii="Arial" w:hAnsi="Arial" w:eastAsia="Arial"/>
          <w:b/>
          <w:i w:val="0"/>
          <w:color w:val="525252"/>
          <w:sz w:val="21"/>
        </w:rPr>
        <w:t>Nota explicativa sobre los perfiles del órgano de gobierno</w:t>
      </w:r>
    </w:p>
    <w:p>
      <w:pPr>
        <w:keepLines w:val="0"/>
      </w:pPr>
      <w:r>
        <w:rPr>
          <w:rFonts w:ascii="Arial" w:hAnsi="Arial" w:eastAsia="Arial"/>
          <w:b w:val="0"/>
          <w:i w:val="0"/>
          <w:color w:val="525252"/>
          <w:sz w:val="21"/>
        </w:rPr>
        <w:t>La Comunidad de Aguas Tenisca es una entidad de carácter comunitario, integrada por comuneros titulares de derechos de agua, principalmente agricultores y personas vinculadas históricamente al sector primario. Los cargos del Consejo de Administración no tienen carácter profesional ni retribuido y son ejercidos por comuneros elegidos por la Junta General, en representación de los intereses de la comunidad. Por este motivo, los perfiles publicados reflejan la actividad profesional real de cada persona (agricultor, transportista, etc.), siendo su conocimiento del territorio, del uso del agua y de la gestión comunitaria el principal mérito para el desempeño de sus funciones.</w:t>
      </w:r>
    </w:p>
    <w:p>
      <w:pPr>
        <w:keepLines w:val="0"/>
      </w:pPr>
      <w:r>
        <w:rPr>
          <w:rFonts w:ascii="Arial" w:hAnsi="Arial" w:eastAsia="Arial"/>
          <w:b/>
          <w:i w:val="0"/>
          <w:color w:val="525252"/>
          <w:sz w:val="21"/>
        </w:rPr>
        <w:t>Retribución percibida anualmente por cada administrador y directivo de la entidad:</w:t>
      </w:r>
    </w:p>
    <w:p>
      <w:pPr>
        <w:keepLines w:val="0"/>
      </w:pPr>
      <w:r>
        <w:rPr>
          <w:rFonts w:ascii="Arial" w:hAnsi="Arial" w:eastAsia="Arial"/>
          <w:b w:val="0"/>
          <w:i w:val="0"/>
          <w:color w:val="525252"/>
          <w:sz w:val="21"/>
        </w:rPr>
        <w:t>La máxima responsabilidad de la Comunidad de Aguas Tenisca corresponde a sus órganos de gobierno, la Junta General y el Consejo de Administración, integrados por comuneros. Durante el ejercicio 2025, los miembros del Consejo de Administración no han percibido remuneración alguna, conforme al artículo 25, capítulo VI, de los Estatutos, que establece que los cargos son reelegibles y no remunerados. La Gerencia depende del Consejo de Administración.</w:t>
      </w:r>
    </w:p>
    <w:p>
      <w:pPr>
        <w:pStyle w:val="Heading1"/>
      </w:pPr>
      <w:r>
        <w:t>Contratación de personal</w:t>
      </w:r>
    </w:p>
    <w:p>
      <w:pPr>
        <w:keepLines w:val="0"/>
      </w:pPr>
      <w:r>
        <w:rPr>
          <w:rFonts w:ascii="Arial" w:hAnsi="Arial" w:eastAsia="Arial"/>
          <w:b w:val="0"/>
          <w:i w:val="0"/>
          <w:color w:val="525252"/>
          <w:sz w:val="21"/>
        </w:rPr>
        <w:t>Durante el ejercicio 2024 se contrataron las siguientes personas para apoyar la actividad de la entidad:</w:t>
      </w:r>
    </w:p>
    <w:p>
      <w:pPr>
        <w:pStyle w:val="ListBullet"/>
        <w:ind w:left="397" w:hanging="198"/>
      </w:pPr>
      <w:r>
        <w:rPr>
          <w:rFonts w:ascii="Arial" w:hAnsi="Arial" w:eastAsia="Arial"/>
          <w:b w:val="0"/>
          <w:i w:val="0"/>
          <w:color w:val="525252"/>
          <w:sz w:val="21"/>
        </w:rPr>
        <w:t>Auxiliar administrativo — Alta: 02 de octubre de 2024</w:t>
      </w:r>
    </w:p>
    <w:p>
      <w:pPr>
        <w:pStyle w:val="ListBullet"/>
        <w:ind w:left="397" w:hanging="198"/>
      </w:pPr>
      <w:r>
        <w:rPr>
          <w:rFonts w:ascii="Arial" w:hAnsi="Arial" w:eastAsia="Arial"/>
          <w:b w:val="0"/>
          <w:i w:val="0"/>
          <w:color w:val="525252"/>
          <w:sz w:val="21"/>
        </w:rPr>
        <w:t>Auxiliar administrativo — Alta: 14 de octubre de 2024</w:t>
      </w:r>
    </w:p>
    <w:p>
      <w:pPr>
        <w:keepLines w:val="0"/>
      </w:pPr>
      <w:r>
        <w:br/>
      </w:r>
      <w:r>
        <w:rPr>
          <w:rFonts w:ascii="Arial" w:hAnsi="Arial" w:eastAsia="Arial"/>
          <w:b w:val="0"/>
          <w:i w:val="0"/>
          <w:color w:val="525252"/>
          <w:sz w:val="21"/>
        </w:rPr>
        <w:t>En el ejercicio 2025 se efectuó una nueva contratación:</w:t>
      </w:r>
    </w:p>
    <w:p>
      <w:pPr>
        <w:pStyle w:val="ListBullet"/>
        <w:ind w:left="397" w:hanging="198"/>
      </w:pPr>
      <w:r>
        <w:rPr>
          <w:rFonts w:ascii="Arial" w:hAnsi="Arial" w:eastAsia="Arial"/>
          <w:b w:val="0"/>
          <w:i w:val="0"/>
          <w:color w:val="525252"/>
          <w:sz w:val="21"/>
        </w:rPr>
        <w:t>Peón — Alta: 03 de noviembre de 2025</w:t>
      </w:r>
    </w:p>
    <w:p>
      <w:pPr>
        <w:keepLines w:val="0"/>
      </w:pPr>
      <w:r>
        <w:br/>
      </w:r>
      <w:r>
        <w:rPr>
          <w:rFonts w:ascii="Arial" w:hAnsi="Arial" w:eastAsia="Arial"/>
          <w:b w:val="0"/>
          <w:i w:val="0"/>
          <w:color w:val="525252"/>
          <w:sz w:val="21"/>
        </w:rPr>
        <w:t>El proceso de selección no se ha realizado mediante convocatoria pública o concurso-oposición. La selección se ha llevado a cabo internamente por la Gerencia, con informe favorable de la Dirección y los miembros de la Junta Directiva, con base en los CV recibidos y la relación de personas inscritas en los servicios públicos de empleo.</w:t>
      </w:r>
    </w:p>
    <w:p>
      <w:pPr>
        <w:pStyle w:val="Heading2"/>
      </w:pPr>
      <w:r>
        <w:t>Documentos y enlaces relacionados</w:t>
      </w:r>
    </w:p>
    <w:p>
      <w:pPr>
        <w:pStyle w:val="ListBullet"/>
        <w:ind w:left="397" w:hanging="198"/>
      </w:pPr>
      <w:hyperlink r:id="rId42">
        <w:r>
          <w:rPr>
            <w:color w:val="0563C1"/>
            <w:u w:val="single"/>
            <w:rFonts w:ascii="Arial" w:hAnsi="Arial"/>
          </w:rPr>
          <w:t xml:space="preserve">Organigrama de la entidad (PDF)</w:t>
        </w:r>
      </w:hyperlink>
    </w:p>
    <w:p>
      <w:pPr>
        <w:pStyle w:val="ListBullet"/>
        <w:ind w:left="397" w:hanging="198"/>
      </w:pPr>
      <w:hyperlink r:id="rId43">
        <w:r>
          <w:rPr>
            <w:color w:val="0563C1"/>
            <w:u w:val="single"/>
            <w:rFonts w:ascii="Arial" w:hAnsi="Arial"/>
          </w:rPr>
          <w:t xml:space="preserve">Organigrama de la entidad (ODT)</w:t>
        </w:r>
      </w:hyperlink>
    </w:p>
    <w:p>
      <w:pPr>
        <w:pStyle w:val="ListBullet"/>
        <w:ind w:left="397" w:hanging="198"/>
      </w:pPr>
      <w:hyperlink r:id="rId44">
        <w:r>
          <w:rPr>
            <w:color w:val="0563C1"/>
            <w:u w:val="single"/>
            <w:rFonts w:ascii="Arial" w:hAnsi="Arial"/>
          </w:rPr>
          <w:t xml:space="preserve">Organigrama de la entidad (DOCX)</w:t>
        </w:r>
      </w:hyperlink>
    </w:p>
    <w:sectPr w:rsidR="00FC693F" w:rsidRPr="0006063C" w:rsidSect="00034616">
      <w:footerReference w:type="default" r:id="rId45"/>
      <w:pgSz w:w="11906" w:h="16838"/>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8562"/>
      <w:gridCol w:w="850"/>
    </w:tblGrid>
    <w:tr>
      <w:tc>
        <w:tcPr>
          <w:tcW w:type="dxa" w:w="4706"/>
          <w:tcMar>
            <w:top w:w="0" w:type="dxa"/>
            <w:start w:w="0" w:type="dxa"/>
            <w:bottom w:w="0" w:type="dxa"/>
            <w:end w:w="0" w:type="dxa"/>
          </w:tcMar>
        </w:tcPr>
        <w:p>
          <w:pPr>
            <w:spacing w:after="0"/>
          </w:pPr>
          <w:r>
            <w:rPr>
              <w:rFonts w:ascii="Arial" w:hAnsi="Arial" w:eastAsia="Arial"/>
              <w:color w:val="525252"/>
              <w:sz w:val="16"/>
            </w:rPr>
            <w:t>Comunidad de Aguas Tenisca · Portal de Transparencia</w:t>
          </w:r>
        </w:p>
      </w:tc>
      <w:tc>
        <w:tcPr>
          <w:tcW w:type="dxa" w:w="4706"/>
          <w:tcMar>
            <w:top w:w="0" w:type="dxa"/>
            <w:start w:w="0" w:type="dxa"/>
            <w:bottom w:w="0" w:type="dxa"/>
            <w:end w:w="0" w:type="dxa"/>
          </w:tcMar>
        </w:tcPr>
        <w:p>
          <w:pPr>
            <w:spacing w:after="0"/>
            <w:jc w:val="right"/>
          </w:pPr>
          <w:r>
            <w:rPr>
              <w:rFonts w:ascii="Arial" w:hAnsi="Arial" w:eastAsia="Arial"/>
              <w:color w:val="525252"/>
              <w:sz w:val="16"/>
            </w:rPr>
            <w:fldChar w:fldCharType="begin"/>
            <w:instrText xml:space="preserve"> PAGE </w:instrText>
            <w:fldChar w:fldCharType="separate"/>
            <w:fldChar w:fldCharType="end"/>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52525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20" w:after="100"/>
      <w:outlineLvl w:val="2"/>
    </w:pPr>
    <w:rPr>
      <w:rFonts w:asciiTheme="majorHAnsi" w:eastAsiaTheme="majorEastAsia" w:hAnsiTheme="majorHAnsi" w:cstheme="majorBidi" w:ascii="Arial" w:hAnsi="Arial"/>
      <w:b/>
      <w:bCs/>
      <w:color w:val="000000"/>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data">
    <w:name w:val="Metadata"/>
    <w:pPr>
      <w:spacing w:after="40"/>
    </w:pPr>
    <w:rPr>
      <w:rFonts w:ascii="Arial" w:hAnsi="Arial"/>
      <w:color w:val="525252"/>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enisca.es/informacion-organizativa/" TargetMode="External"/><Relationship Id="rId10" Type="http://schemas.openxmlformats.org/officeDocument/2006/relationships/hyperlink" Target="https://www.boe.es/buscar/doc.php?id=BOE-A-1956-18089" TargetMode="External"/><Relationship Id="rId11" Type="http://schemas.openxmlformats.org/officeDocument/2006/relationships/hyperlink" Target="https://tenisca.es/wp-content/uploads/2026/01/Estatutos-transcripcion-ODT.odt" TargetMode="External"/><Relationship Id="rId12" Type="http://schemas.openxmlformats.org/officeDocument/2006/relationships/hyperlink" Target="https://www.boe.es/buscar/act.php?id=BOE-A-1986-10638" TargetMode="External"/><Relationship Id="rId13" Type="http://schemas.openxmlformats.org/officeDocument/2006/relationships/hyperlink" Target="https://www.boe.es/buscar/act.php?id=BOE-A-1988-18762" TargetMode="External"/><Relationship Id="rId14" Type="http://schemas.openxmlformats.org/officeDocument/2006/relationships/hyperlink" Target="https://www.boe.es/buscar/act.php?id=BOE-A-1990-23087" TargetMode="External"/><Relationship Id="rId15" Type="http://schemas.openxmlformats.org/officeDocument/2006/relationships/hyperlink" Target="https://www.gobiernodecanarias.org/juriscan/ficha.jsp?id=17887" TargetMode="External"/><Relationship Id="rId16" Type="http://schemas.openxmlformats.org/officeDocument/2006/relationships/hyperlink" Target="http://www.gobiernodecanarias.org/boc/1994/104/003.html" TargetMode="External"/><Relationship Id="rId17" Type="http://schemas.openxmlformats.org/officeDocument/2006/relationships/hyperlink" Target="http://www.gobiernodecanarias.org/boc/2000/048/003.html" TargetMode="External"/><Relationship Id="rId18" Type="http://schemas.openxmlformats.org/officeDocument/2006/relationships/hyperlink" Target="https://www.boe.es/buscar/act.php?id=BOE-A-2001-13042" TargetMode="External"/><Relationship Id="rId19" Type="http://schemas.openxmlformats.org/officeDocument/2006/relationships/hyperlink" Target="https://www.boe.es/buscar/act.php?id=BOE-A-2001-14276" TargetMode="External"/><Relationship Id="rId20" Type="http://schemas.openxmlformats.org/officeDocument/2006/relationships/hyperlink" Target="http://www.gobiernodecanarias.org/boc/2002/108/001.html" TargetMode="External"/><Relationship Id="rId21" Type="http://schemas.openxmlformats.org/officeDocument/2006/relationships/hyperlink" Target="https://www3.gobiernodecanarias.org/aplicaciones/sita/d?u=2e2a793a-d70b-435a-b4e6-aec70fb9fe10&amp;t=8f7a03af-d554-45e0-b230-982ebe0902f1" TargetMode="External"/><Relationship Id="rId22" Type="http://schemas.openxmlformats.org/officeDocument/2006/relationships/hyperlink" Target="https://www.boe.es/buscar/doc.php?id=BOE-A-2007-13182" TargetMode="External"/><Relationship Id="rId23" Type="http://schemas.openxmlformats.org/officeDocument/2006/relationships/hyperlink" Target="https://www.boe.es/buscar/doc.php?id=BOE-A-2007-21092" TargetMode="External"/><Relationship Id="rId24" Type="http://schemas.openxmlformats.org/officeDocument/2006/relationships/hyperlink" Target="https://www.gobiernodecanarias.org/juriscan/ficha.jsp?id=60177" TargetMode="External"/><Relationship Id="rId25" Type="http://schemas.openxmlformats.org/officeDocument/2006/relationships/hyperlink" Target="https://www.boe.es/buscar/act.php?id=BOE-A-2009-16772" TargetMode="External"/><Relationship Id="rId26" Type="http://schemas.openxmlformats.org/officeDocument/2006/relationships/hyperlink" Target="https://www.boe.es/buscar/doc.php?id=BOE-A-2010-11184" TargetMode="External"/><Relationship Id="rId27" Type="http://schemas.openxmlformats.org/officeDocument/2006/relationships/hyperlink" Target="https://www.boe.es/buscar/act.php?id=BOE-A-2014-10345" TargetMode="External"/><Relationship Id="rId28" Type="http://schemas.openxmlformats.org/officeDocument/2006/relationships/hyperlink" Target="http://www.gobiernodecanarias.org/boc/2015/134/001.html" TargetMode="External"/><Relationship Id="rId29" Type="http://schemas.openxmlformats.org/officeDocument/2006/relationships/hyperlink" Target="https://www.boe.es/buscar/doc.php?id=BOE-A-2015-9806" TargetMode="External"/><Relationship Id="rId30" Type="http://schemas.openxmlformats.org/officeDocument/2006/relationships/hyperlink" Target="http://www.gobiernodecanarias.org/boc/2018/237/001.html" TargetMode="External"/><Relationship Id="rId31" Type="http://schemas.openxmlformats.org/officeDocument/2006/relationships/hyperlink" Target="https://www.boe.es/buscar/act.php?id=BOE-A-2002-18099" TargetMode="External"/><Relationship Id="rId32" Type="http://schemas.openxmlformats.org/officeDocument/2006/relationships/hyperlink" Target="https://www.boe.es/buscar/doc.php?id=BOE-A-2002-18099" TargetMode="External"/><Relationship Id="rId33" Type="http://schemas.openxmlformats.org/officeDocument/2006/relationships/hyperlink" Target="https://www.boe.es/eli/es/l/2013/12/09/19" TargetMode="External"/><Relationship Id="rId34" Type="http://schemas.openxmlformats.org/officeDocument/2006/relationships/hyperlink" Target="https://www.boe.es/buscar/doc.php?id=BOE-A-2015-1114" TargetMode="External"/><Relationship Id="rId35" Type="http://schemas.openxmlformats.org/officeDocument/2006/relationships/hyperlink" Target="https://www.boe.es/buscar/doc.php?id=BOE-A-2018-16673" TargetMode="External"/><Relationship Id="rId36" Type="http://schemas.openxmlformats.org/officeDocument/2006/relationships/hyperlink" Target="https://www.boe.es/doue/2016/119/L00001-00088.pdf" TargetMode="External"/><Relationship Id="rId37" Type="http://schemas.openxmlformats.org/officeDocument/2006/relationships/hyperlink" Target="https://www.boe.es/buscar/act.php?id=BOE-A-2003-20977" TargetMode="External"/><Relationship Id="rId38" Type="http://schemas.openxmlformats.org/officeDocument/2006/relationships/hyperlink" Target="https://www.boe.es/buscar/act.php?id=BOE-A-2002-13758" TargetMode="External"/><Relationship Id="rId39" Type="http://schemas.openxmlformats.org/officeDocument/2006/relationships/hyperlink" Target="https://www.boe.es/buscar/act.php?id=BOE-A-2023-4513" TargetMode="External"/><Relationship Id="rId40" Type="http://schemas.openxmlformats.org/officeDocument/2006/relationships/hyperlink" Target="https://www.boe.es/buscar/act.php?id=BOE-A-2010-6737" TargetMode="External"/><Relationship Id="rId41" Type="http://schemas.openxmlformats.org/officeDocument/2006/relationships/image" Target="media/image1.png"/><Relationship Id="rId42" Type="http://schemas.openxmlformats.org/officeDocument/2006/relationships/hyperlink" Target="https://tenisca.es/wp-content/uploads/2025/12/Organigrama-aguas-de-tenisca.pdf" TargetMode="External"/><Relationship Id="rId43" Type="http://schemas.openxmlformats.org/officeDocument/2006/relationships/hyperlink" Target="https://tenisca.es/wp-content/uploads/2026/01/Organigrama-Tenisca-ODT.odt" TargetMode="External"/><Relationship Id="rId44" Type="http://schemas.openxmlformats.org/officeDocument/2006/relationships/hyperlink" Target="https://tenisca.es/wp-content/uploads/2025/12/Organigrama-Aguas-Tenisca-2025.docx" TargetMode="External"/><Relationship Id="rId4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Organizativa</dc:title>
  <dc:subject>Portal de Transparencia</dc:subject>
  <dc:creator>Comunidad de Aguas Tenisca</dc:creator>
  <cp:keywords>transparencia, Comunidad de Aguas Tenisca</cp:keywords>
  <dc:description>generated by python-docx</dc:description>
  <cp:lastModifiedBy/>
  <cp:revision>1</cp:revision>
  <dcterms:created xsi:type="dcterms:W3CDTF">2013-12-23T23:15:00Z</dcterms:created>
  <dcterms:modified xsi:type="dcterms:W3CDTF">2013-12-23T23:15:00Z</dcterms:modified>
  <cp:category/>
</cp:coreProperties>
</file>