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B5E7B" w14:textId="77777777" w:rsidR="001643D6" w:rsidRDefault="00000000">
      <w:pPr>
        <w:spacing w:after="0" w:line="288" w:lineRule="atLeast"/>
        <w:textAlignment w:val="baseline"/>
        <w:outlineLvl w:val="1"/>
        <w:rPr>
          <w:rFonts w:ascii="Arial" w:eastAsia="Times New Roman" w:hAnsi="Arial" w:cs="Arial"/>
          <w:b/>
          <w:bCs/>
          <w:color w:val="FFFFFF"/>
          <w:kern w:val="0"/>
          <w:sz w:val="36"/>
          <w:szCs w:val="36"/>
          <w:lang w:eastAsia="es-ES"/>
        </w:rPr>
      </w:pPr>
      <w:r>
        <w:rPr>
          <w:rFonts w:ascii="Arial" w:eastAsia="Times New Roman" w:hAnsi="Arial" w:cs="Arial"/>
          <w:b/>
          <w:bCs/>
          <w:color w:val="FFFFFF"/>
          <w:kern w:val="0"/>
          <w:sz w:val="36"/>
          <w:szCs w:val="36"/>
          <w:lang w:eastAsia="es-ES"/>
        </w:rPr>
        <w:t>Canal de Información - Comunidad de Aguas Tenisca</w:t>
      </w:r>
    </w:p>
    <w:p w14:paraId="7AA4750A" w14:textId="77777777" w:rsidR="001643D6" w:rsidRDefault="00000000">
      <w:pPr>
        <w:spacing w:after="384" w:line="240" w:lineRule="auto"/>
        <w:textAlignment w:val="baseline"/>
        <w:rPr>
          <w:rFonts w:ascii="Arial" w:eastAsia="Times New Roman" w:hAnsi="Arial" w:cs="Arial"/>
          <w:kern w:val="0"/>
          <w:sz w:val="27"/>
          <w:szCs w:val="27"/>
          <w:lang w:eastAsia="es-ES"/>
        </w:rPr>
      </w:pPr>
      <w:r>
        <w:rPr>
          <w:rFonts w:ascii="Arial" w:eastAsia="Times New Roman" w:hAnsi="Arial" w:cs="Arial"/>
          <w:kern w:val="0"/>
          <w:sz w:val="27"/>
          <w:szCs w:val="27"/>
          <w:lang w:eastAsia="es-ES"/>
        </w:rPr>
        <w:t>Bienvenidos al Canal Interno de Información de COMUNIDAD DE AGUAS TENISCA</w:t>
      </w:r>
    </w:p>
    <w:p w14:paraId="573BD5DE" w14:textId="77777777" w:rsidR="003E1D93" w:rsidRDefault="003E1D93" w:rsidP="003E1D93">
      <w:pPr>
        <w:pStyle w:val="Ttulo5"/>
        <w:shd w:val="clear" w:color="auto" w:fill="FFFFFF"/>
        <w:spacing w:before="0" w:after="0" w:line="288" w:lineRule="atLeast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Actualizado a fecha de 31 de </w:t>
      </w:r>
      <w:proofErr w:type="gramStart"/>
      <w:r>
        <w:rPr>
          <w:rFonts w:ascii="Arial" w:hAnsi="Arial" w:cs="Arial"/>
        </w:rPr>
        <w:t>Marzo</w:t>
      </w:r>
      <w:proofErr w:type="gramEnd"/>
      <w:r>
        <w:rPr>
          <w:rFonts w:ascii="Arial" w:hAnsi="Arial" w:cs="Arial"/>
        </w:rPr>
        <w:t xml:space="preserve"> de 2024</w:t>
      </w:r>
    </w:p>
    <w:p w14:paraId="1D0D494D" w14:textId="77777777" w:rsidR="003E1D93" w:rsidRDefault="003E1D93">
      <w:pPr>
        <w:spacing w:after="384" w:line="240" w:lineRule="auto"/>
        <w:textAlignment w:val="baseline"/>
        <w:rPr>
          <w:rFonts w:ascii="Arial" w:eastAsia="Times New Roman" w:hAnsi="Arial" w:cs="Arial"/>
          <w:kern w:val="0"/>
          <w:sz w:val="27"/>
          <w:szCs w:val="27"/>
          <w:lang w:eastAsia="es-ES"/>
        </w:rPr>
      </w:pPr>
    </w:p>
    <w:p w14:paraId="122AF11A" w14:textId="77777777" w:rsidR="001643D6" w:rsidRDefault="00000000">
      <w:pPr>
        <w:spacing w:after="384" w:line="240" w:lineRule="auto"/>
        <w:textAlignment w:val="baseline"/>
        <w:rPr>
          <w:rFonts w:ascii="Arial" w:eastAsia="Times New Roman" w:hAnsi="Arial" w:cs="Arial"/>
          <w:kern w:val="0"/>
          <w:sz w:val="27"/>
          <w:szCs w:val="27"/>
          <w:lang w:eastAsia="es-ES"/>
        </w:rPr>
      </w:pPr>
      <w:r>
        <w:rPr>
          <w:rFonts w:ascii="Arial" w:eastAsia="Times New Roman" w:hAnsi="Arial" w:cs="Arial"/>
          <w:kern w:val="0"/>
          <w:sz w:val="27"/>
          <w:szCs w:val="27"/>
          <w:lang w:eastAsia="es-ES"/>
        </w:rPr>
        <w:t>En la COMUNIDAD DE AGUAS TENISCA aseguramos que las actividades, tanto las realizadas directamente por nuestra parte como por medio de terceros, velamos por la protección y el cumplimiento de los Derechos Humanos Fundamentales, según se establecen en la Declaración Universal de Derechos Humanos de las Naciones Unidas y en los Convenios fundamentales del Grupo Internacional del Trabajo y en los Principios del Pacto Mundial de la ONU. De la misma forma estamos comprometidos a actuar de forma coherente con el cumplimiento normativo, mostrando tolerancia cero frente a la comisión de cualquier delito.</w:t>
      </w:r>
    </w:p>
    <w:p w14:paraId="14703EA6" w14:textId="77777777" w:rsidR="001643D6" w:rsidRDefault="00000000">
      <w:pPr>
        <w:spacing w:after="384" w:line="240" w:lineRule="auto"/>
        <w:textAlignment w:val="baseline"/>
        <w:rPr>
          <w:rFonts w:ascii="Arial" w:eastAsia="Times New Roman" w:hAnsi="Arial" w:cs="Arial"/>
          <w:kern w:val="0"/>
          <w:sz w:val="27"/>
          <w:szCs w:val="27"/>
          <w:lang w:eastAsia="es-ES"/>
        </w:rPr>
      </w:pPr>
      <w:r>
        <w:rPr>
          <w:rFonts w:ascii="Arial" w:eastAsia="Times New Roman" w:hAnsi="Arial" w:cs="Arial"/>
          <w:kern w:val="0"/>
          <w:sz w:val="27"/>
          <w:szCs w:val="27"/>
          <w:lang w:eastAsia="es-ES"/>
        </w:rPr>
        <w:t>El Código de Conducta tiene como objetivo fijar el comportamiento adecuado a cada persona y situación. Formando parte de las medidas que permitan ejercer la debida diligencia y cuidado profesional que le corresponde a la COMUNIDAD DE AGUAS TENISCA, y en cumplimiento de la normativa de aplicación se ha diseñado un Canal de Información cuya principal finalidad es la gestión confidencial, eficaz y ágil de cualquier incidencia relacionada con el Código de Conducta, ya sean consultas aclaratorias o comunicaciones acerca de presuntas vulneraciones del mencionado Código de Conducta o de las normas internas o de la legislación vigente.</w:t>
      </w:r>
    </w:p>
    <w:p w14:paraId="312035BB" w14:textId="77777777" w:rsidR="001643D6" w:rsidRDefault="00000000">
      <w:pPr>
        <w:spacing w:after="384" w:line="240" w:lineRule="auto"/>
        <w:textAlignment w:val="baseline"/>
        <w:rPr>
          <w:rFonts w:ascii="Arial" w:eastAsia="Times New Roman" w:hAnsi="Arial" w:cs="Arial"/>
          <w:kern w:val="0"/>
          <w:sz w:val="27"/>
          <w:szCs w:val="27"/>
          <w:lang w:eastAsia="es-ES"/>
        </w:rPr>
      </w:pPr>
      <w:r>
        <w:rPr>
          <w:rFonts w:ascii="Arial" w:eastAsia="Times New Roman" w:hAnsi="Arial" w:cs="Arial"/>
          <w:kern w:val="0"/>
          <w:sz w:val="27"/>
          <w:szCs w:val="27"/>
          <w:lang w:eastAsia="es-ES"/>
        </w:rPr>
        <w:t>Este Canal de Información se convierte en una de las principales fuentes de información para la prevención y detección de delitos, como componente fundamental en nuestro Sistema de Cumplimiento.</w:t>
      </w:r>
    </w:p>
    <w:p w14:paraId="3BBA0F17" w14:textId="77777777" w:rsidR="001643D6" w:rsidRDefault="00000000">
      <w:pPr>
        <w:spacing w:after="384" w:line="240" w:lineRule="auto"/>
        <w:textAlignment w:val="baseline"/>
        <w:rPr>
          <w:rFonts w:ascii="Arial" w:eastAsia="Times New Roman" w:hAnsi="Arial" w:cs="Arial"/>
          <w:kern w:val="0"/>
          <w:sz w:val="27"/>
          <w:szCs w:val="27"/>
          <w:lang w:eastAsia="es-ES"/>
        </w:rPr>
      </w:pPr>
      <w:r>
        <w:rPr>
          <w:rFonts w:ascii="Arial" w:eastAsia="Times New Roman" w:hAnsi="Arial" w:cs="Arial"/>
          <w:kern w:val="0"/>
          <w:sz w:val="27"/>
          <w:szCs w:val="27"/>
          <w:lang w:eastAsia="es-ES"/>
        </w:rPr>
        <w:t xml:space="preserve">Como parte de nuestro compromiso de mejora continua en los procesos, el Canal de Información nos ayudará a detectar áreas de mejora en nuestras políticas, procedimientos y protocolos para prevenir y evitar futuras malas prácticas. Asimismo, el disponer de una herramienta habilitada al exterior permite garantizar un mayor nivel de transparencia </w:t>
      </w:r>
      <w:r>
        <w:rPr>
          <w:rFonts w:ascii="Arial" w:eastAsia="Times New Roman" w:hAnsi="Arial" w:cs="Arial"/>
          <w:kern w:val="0"/>
          <w:sz w:val="27"/>
          <w:szCs w:val="27"/>
          <w:lang w:eastAsia="es-ES"/>
        </w:rPr>
        <w:lastRenderedPageBreak/>
        <w:t>de la COMUNIDAD DE AGUAS TENISCA con sus grupos de interés relacionados.</w:t>
      </w:r>
    </w:p>
    <w:p w14:paraId="6BE1BC1F" w14:textId="77777777" w:rsidR="001643D6" w:rsidRDefault="00000000">
      <w:pPr>
        <w:spacing w:after="384" w:line="240" w:lineRule="auto"/>
        <w:textAlignment w:val="baseline"/>
        <w:rPr>
          <w:rFonts w:ascii="Arial" w:eastAsia="Times New Roman" w:hAnsi="Arial" w:cs="Arial"/>
          <w:kern w:val="0"/>
          <w:sz w:val="27"/>
          <w:szCs w:val="27"/>
          <w:lang w:eastAsia="es-ES"/>
        </w:rPr>
      </w:pPr>
      <w:r>
        <w:rPr>
          <w:rFonts w:ascii="Arial" w:eastAsia="Times New Roman" w:hAnsi="Arial" w:cs="Arial"/>
          <w:kern w:val="0"/>
          <w:sz w:val="27"/>
          <w:szCs w:val="27"/>
          <w:lang w:eastAsia="es-ES"/>
        </w:rPr>
        <w:t xml:space="preserve">Teniendo en cuenta la sensibilidad de la información enviada, la gestión de la comunicación inicial será realizada por una empresa independiente y externa (AFONSO &amp; GONZÁLEZ ASESORES, S.L.) garantizando así el tratamiento de la comunicación y su confidencialidad. Además, se velará </w:t>
      </w:r>
      <w:proofErr w:type="gramStart"/>
      <w:r>
        <w:rPr>
          <w:rFonts w:ascii="Arial" w:eastAsia="Times New Roman" w:hAnsi="Arial" w:cs="Arial"/>
          <w:kern w:val="0"/>
          <w:sz w:val="27"/>
          <w:szCs w:val="27"/>
          <w:lang w:eastAsia="es-ES"/>
        </w:rPr>
        <w:t>para</w:t>
      </w:r>
      <w:proofErr w:type="gramEnd"/>
      <w:r>
        <w:rPr>
          <w:rFonts w:ascii="Arial" w:eastAsia="Times New Roman" w:hAnsi="Arial" w:cs="Arial"/>
          <w:kern w:val="0"/>
          <w:sz w:val="27"/>
          <w:szCs w:val="27"/>
          <w:lang w:eastAsia="es-ES"/>
        </w:rPr>
        <w:t xml:space="preserve"> que no se produzca ningún tipo de represalia o tentativa de represalia sobre aquellos Informantes que hayan realizado consultas/comunicaciones sobre incidencias, así como para asegurar la adecuada gestión de cualquier potencial conflicto de interés.</w:t>
      </w:r>
    </w:p>
    <w:p w14:paraId="4DFAD823" w14:textId="77777777" w:rsidR="001643D6" w:rsidRDefault="00000000">
      <w:pPr>
        <w:spacing w:after="384" w:line="240" w:lineRule="auto"/>
        <w:textAlignment w:val="baseline"/>
        <w:rPr>
          <w:rFonts w:ascii="Arial" w:eastAsia="Times New Roman" w:hAnsi="Arial" w:cs="Arial"/>
          <w:kern w:val="0"/>
          <w:sz w:val="27"/>
          <w:szCs w:val="27"/>
          <w:lang w:eastAsia="es-ES"/>
        </w:rPr>
      </w:pPr>
      <w:r>
        <w:rPr>
          <w:rFonts w:ascii="Arial" w:eastAsia="Times New Roman" w:hAnsi="Arial" w:cs="Arial"/>
          <w:kern w:val="0"/>
          <w:sz w:val="27"/>
          <w:szCs w:val="27"/>
          <w:lang w:eastAsia="es-ES"/>
        </w:rPr>
        <w:t>Estamos ante un Canal de Información por el que podrá enviar a través del formulario diseñado cualquier comunicación completamente confidencial. El Canal de Información, además permite recibir consultas sobre dudas que pueden surgir en la aplicación de normas y procedimientos internos de la COMUNIDAD DE AGUAS TENISCA.</w:t>
      </w:r>
    </w:p>
    <w:p w14:paraId="2B429FB1" w14:textId="77777777" w:rsidR="001643D6" w:rsidRDefault="00000000">
      <w:pPr>
        <w:spacing w:after="384" w:line="240" w:lineRule="auto"/>
        <w:textAlignment w:val="baseline"/>
        <w:rPr>
          <w:rFonts w:ascii="Arial" w:eastAsia="Times New Roman" w:hAnsi="Arial" w:cs="Arial"/>
          <w:kern w:val="0"/>
          <w:sz w:val="27"/>
          <w:szCs w:val="27"/>
          <w:lang w:eastAsia="es-ES"/>
        </w:rPr>
      </w:pPr>
      <w:r>
        <w:rPr>
          <w:rFonts w:ascii="Arial" w:eastAsia="Times New Roman" w:hAnsi="Arial" w:cs="Arial"/>
          <w:kern w:val="0"/>
          <w:sz w:val="27"/>
          <w:szCs w:val="27"/>
          <w:lang w:eastAsia="es-ES"/>
        </w:rPr>
        <w:t>El Canal de Información estará a disposición de todos los trabajadores, partícipes, clientes, colaboradores, proveedores, terceros.</w:t>
      </w:r>
    </w:p>
    <w:p w14:paraId="35F50F23" w14:textId="77777777" w:rsidR="001643D6" w:rsidRDefault="00000000">
      <w:pPr>
        <w:spacing w:after="384" w:line="240" w:lineRule="auto"/>
        <w:textAlignment w:val="baseline"/>
        <w:rPr>
          <w:rFonts w:ascii="Arial" w:eastAsia="Times New Roman" w:hAnsi="Arial" w:cs="Arial"/>
          <w:kern w:val="0"/>
          <w:sz w:val="27"/>
          <w:szCs w:val="27"/>
          <w:lang w:eastAsia="es-ES"/>
        </w:rPr>
      </w:pPr>
      <w:r>
        <w:rPr>
          <w:rFonts w:ascii="Arial" w:eastAsia="Times New Roman" w:hAnsi="Arial" w:cs="Arial"/>
          <w:kern w:val="0"/>
          <w:sz w:val="27"/>
          <w:szCs w:val="27"/>
          <w:lang w:eastAsia="es-ES"/>
        </w:rPr>
        <w:t>Desde la COMUNIDAD DE AGUAS TENISCA agradeceremos el hecho de recibir cualquier comunicación relacionada con malas prácticas financieras, contables, comerciales, o de cumplimiento que nos permita corregir el hecho y adoptar medidas de mejora.</w:t>
      </w:r>
    </w:p>
    <w:p w14:paraId="15527048" w14:textId="77777777" w:rsidR="001643D6" w:rsidRDefault="00000000">
      <w:pPr>
        <w:spacing w:after="0" w:line="288" w:lineRule="atLeast"/>
        <w:textAlignment w:val="baseline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s-ES"/>
        </w:rPr>
      </w:pPr>
      <w:r>
        <w:rPr>
          <w:rFonts w:ascii="Arial" w:eastAsia="Times New Roman" w:hAnsi="Arial" w:cs="Arial"/>
          <w:b/>
          <w:bCs/>
          <w:kern w:val="0"/>
          <w:sz w:val="27"/>
          <w:szCs w:val="27"/>
          <w:lang w:eastAsia="es-ES"/>
        </w:rPr>
        <w:t>¿Qué puede comunicar a través del Canal de Información?</w:t>
      </w:r>
    </w:p>
    <w:p w14:paraId="16AA4756" w14:textId="77777777" w:rsidR="001643D6" w:rsidRDefault="00000000">
      <w:pPr>
        <w:spacing w:after="384" w:line="240" w:lineRule="auto"/>
        <w:textAlignment w:val="baseline"/>
        <w:rPr>
          <w:rFonts w:ascii="Arial" w:eastAsia="Times New Roman" w:hAnsi="Arial" w:cs="Arial"/>
          <w:kern w:val="0"/>
          <w:sz w:val="27"/>
          <w:szCs w:val="27"/>
          <w:lang w:eastAsia="es-ES"/>
        </w:rPr>
      </w:pPr>
      <w:r>
        <w:rPr>
          <w:rFonts w:ascii="Arial" w:eastAsia="Times New Roman" w:hAnsi="Arial" w:cs="Arial"/>
          <w:kern w:val="0"/>
          <w:sz w:val="27"/>
          <w:szCs w:val="27"/>
          <w:lang w:eastAsia="es-ES"/>
        </w:rPr>
        <w:t>Las conductas ilícitas o potencialmente ilícitas que se pueden comunicar a través del Canal de Información serán entre otros, en los siguientes ámbitos:</w:t>
      </w:r>
      <w:r>
        <w:rPr>
          <w:rFonts w:ascii="Arial" w:eastAsia="Times New Roman" w:hAnsi="Arial" w:cs="Arial"/>
          <w:kern w:val="0"/>
          <w:sz w:val="27"/>
          <w:szCs w:val="27"/>
          <w:lang w:eastAsia="es-ES"/>
        </w:rPr>
        <w:br/>
        <w:t>• Contratación pública.</w:t>
      </w:r>
      <w:r>
        <w:rPr>
          <w:rFonts w:ascii="Arial" w:eastAsia="Times New Roman" w:hAnsi="Arial" w:cs="Arial"/>
          <w:kern w:val="0"/>
          <w:sz w:val="27"/>
          <w:szCs w:val="27"/>
          <w:lang w:eastAsia="es-ES"/>
        </w:rPr>
        <w:br/>
        <w:t>• Sector financiero.</w:t>
      </w:r>
      <w:r>
        <w:rPr>
          <w:rFonts w:ascii="Arial" w:eastAsia="Times New Roman" w:hAnsi="Arial" w:cs="Arial"/>
          <w:kern w:val="0"/>
          <w:sz w:val="27"/>
          <w:szCs w:val="27"/>
          <w:lang w:eastAsia="es-ES"/>
        </w:rPr>
        <w:br/>
        <w:t>• Prevención del blanqueo de capitales o financiación del terrorismo. Conducta relacionada con el Blanqueo de Capitales. Toda aquella acción susceptible de estar relacionada con el blanqueo de capitales o que incumpla con la normativa de esta materia.</w:t>
      </w:r>
      <w:r>
        <w:rPr>
          <w:rFonts w:ascii="Arial" w:eastAsia="Times New Roman" w:hAnsi="Arial" w:cs="Arial"/>
          <w:kern w:val="0"/>
          <w:sz w:val="27"/>
          <w:szCs w:val="27"/>
          <w:lang w:eastAsia="es-ES"/>
        </w:rPr>
        <w:br/>
        <w:t>• Protección del medio ambiente.</w:t>
      </w:r>
      <w:r>
        <w:rPr>
          <w:rFonts w:ascii="Arial" w:eastAsia="Times New Roman" w:hAnsi="Arial" w:cs="Arial"/>
          <w:kern w:val="0"/>
          <w:sz w:val="27"/>
          <w:szCs w:val="27"/>
          <w:lang w:eastAsia="es-ES"/>
        </w:rPr>
        <w:br/>
        <w:t>• Protección de los consumidores.</w:t>
      </w:r>
      <w:r>
        <w:rPr>
          <w:rFonts w:ascii="Arial" w:eastAsia="Times New Roman" w:hAnsi="Arial" w:cs="Arial"/>
          <w:kern w:val="0"/>
          <w:sz w:val="27"/>
          <w:szCs w:val="27"/>
          <w:lang w:eastAsia="es-ES"/>
        </w:rPr>
        <w:br/>
        <w:t>• Protección de la privacidad y de los datos personales, y seguridad de las redes y los sistemas de información.</w:t>
      </w:r>
      <w:r>
        <w:rPr>
          <w:rFonts w:ascii="Arial" w:eastAsia="Times New Roman" w:hAnsi="Arial" w:cs="Arial"/>
          <w:kern w:val="0"/>
          <w:sz w:val="27"/>
          <w:szCs w:val="27"/>
          <w:lang w:eastAsia="es-ES"/>
        </w:rPr>
        <w:br/>
      </w:r>
      <w:r>
        <w:rPr>
          <w:rFonts w:ascii="Arial" w:eastAsia="Times New Roman" w:hAnsi="Arial" w:cs="Arial"/>
          <w:kern w:val="0"/>
          <w:sz w:val="27"/>
          <w:szCs w:val="27"/>
          <w:lang w:eastAsia="es-ES"/>
        </w:rPr>
        <w:lastRenderedPageBreak/>
        <w:t>• Intereses financieros de la Unión y mercado interior.</w:t>
      </w:r>
      <w:r>
        <w:rPr>
          <w:rFonts w:ascii="Arial" w:eastAsia="Times New Roman" w:hAnsi="Arial" w:cs="Arial"/>
          <w:kern w:val="0"/>
          <w:sz w:val="27"/>
          <w:szCs w:val="27"/>
          <w:lang w:eastAsia="es-ES"/>
        </w:rPr>
        <w:br/>
        <w:t>• Acoso: Toda acción de insistencia a una persona para algo que resulte molesto o dañino para esta persona. Incluye el acoso en todas sus modalidades.</w:t>
      </w:r>
      <w:r>
        <w:rPr>
          <w:rFonts w:ascii="Arial" w:eastAsia="Times New Roman" w:hAnsi="Arial" w:cs="Arial"/>
          <w:kern w:val="0"/>
          <w:sz w:val="27"/>
          <w:szCs w:val="27"/>
          <w:lang w:eastAsia="es-ES"/>
        </w:rPr>
        <w:br/>
        <w:t>• Fraude y corrupción: Toda acción que suponga cualquier tipo de corrupción, soborno o fraude, entregar o recibir regalos, obsequios y atenciones cuando ello pueda afectar a la objetividad o influir en una relación comercial, profesional o administrativa.</w:t>
      </w:r>
      <w:r>
        <w:rPr>
          <w:rFonts w:ascii="Arial" w:eastAsia="Times New Roman" w:hAnsi="Arial" w:cs="Arial"/>
          <w:kern w:val="0"/>
          <w:sz w:val="27"/>
          <w:szCs w:val="27"/>
          <w:lang w:eastAsia="es-ES"/>
        </w:rPr>
        <w:br/>
        <w:t>• Práctica contraria al Código de Conducta: Cualquier comportamiento que esté en contra de los compromisos desarrollados en el Código de Conducta, entendiendo toda acción que sea contraria a la honestidad, responsabilidad, transparencia y compromiso, sin ser influidos indebidamente ni por sus propios intereses personales ni por terceros.</w:t>
      </w:r>
      <w:r>
        <w:rPr>
          <w:rFonts w:ascii="Arial" w:eastAsia="Times New Roman" w:hAnsi="Arial" w:cs="Arial"/>
          <w:kern w:val="0"/>
          <w:sz w:val="27"/>
          <w:szCs w:val="27"/>
          <w:lang w:eastAsia="es-ES"/>
        </w:rPr>
        <w:br/>
        <w:t>• Riesgos de Seguridad y Salud: Toda actitud negligente de un compañero, superior jerárquico o de la propia COMUNIDAD DE AGUAS TENISCA que pueda poner en riesgo a cualquier persona, sea empleado propio, del asociado o de un tercero no relacionado.</w:t>
      </w:r>
      <w:r>
        <w:rPr>
          <w:rFonts w:ascii="Arial" w:eastAsia="Times New Roman" w:hAnsi="Arial" w:cs="Arial"/>
          <w:kern w:val="0"/>
          <w:sz w:val="27"/>
          <w:szCs w:val="27"/>
          <w:lang w:eastAsia="es-ES"/>
        </w:rPr>
        <w:br/>
        <w:t>• Malas prácticas: Toda aquella situación indeseada como ofrecer regalos a terceros para obtener negocio, incumplir cualquier tipo de normativa legal o interna.</w:t>
      </w:r>
      <w:r>
        <w:rPr>
          <w:rFonts w:ascii="Arial" w:eastAsia="Times New Roman" w:hAnsi="Arial" w:cs="Arial"/>
          <w:kern w:val="0"/>
          <w:sz w:val="27"/>
          <w:szCs w:val="27"/>
          <w:lang w:eastAsia="es-ES"/>
        </w:rPr>
        <w:br/>
        <w:t>• Respeto e igualdad de oportunidades: Toda acción que suponga cualquier tipo de discriminación por motivos de género, raza, orientación sexual, creencias religiosas, opiniones políticas, nacionalidad, origen social, discapacidad o cualquier otra condición personal, física o social.</w:t>
      </w:r>
      <w:r>
        <w:rPr>
          <w:rFonts w:ascii="Arial" w:eastAsia="Times New Roman" w:hAnsi="Arial" w:cs="Arial"/>
          <w:kern w:val="0"/>
          <w:sz w:val="27"/>
          <w:szCs w:val="27"/>
          <w:lang w:eastAsia="es-ES"/>
        </w:rPr>
        <w:br/>
        <w:t>• Conflicto laboral.</w:t>
      </w:r>
      <w:r>
        <w:rPr>
          <w:rFonts w:ascii="Arial" w:eastAsia="Times New Roman" w:hAnsi="Arial" w:cs="Arial"/>
          <w:kern w:val="0"/>
          <w:sz w:val="27"/>
          <w:szCs w:val="27"/>
          <w:lang w:eastAsia="es-ES"/>
        </w:rPr>
        <w:br/>
        <w:t>• Condiciones laborales.</w:t>
      </w:r>
      <w:r>
        <w:rPr>
          <w:rFonts w:ascii="Arial" w:eastAsia="Times New Roman" w:hAnsi="Arial" w:cs="Arial"/>
          <w:kern w:val="0"/>
          <w:sz w:val="27"/>
          <w:szCs w:val="27"/>
          <w:lang w:eastAsia="es-ES"/>
        </w:rPr>
        <w:br/>
        <w:t>• Actos contrarios a la integridad de la COMUNIDAD DE AGUAS TENISCA.</w:t>
      </w:r>
      <w:r>
        <w:rPr>
          <w:rFonts w:ascii="Arial" w:eastAsia="Times New Roman" w:hAnsi="Arial" w:cs="Arial"/>
          <w:kern w:val="0"/>
          <w:sz w:val="27"/>
          <w:szCs w:val="27"/>
          <w:lang w:eastAsia="es-ES"/>
        </w:rPr>
        <w:br/>
        <w:t>• Fraude patrimonial.</w:t>
      </w:r>
      <w:r>
        <w:rPr>
          <w:rFonts w:ascii="Arial" w:eastAsia="Times New Roman" w:hAnsi="Arial" w:cs="Arial"/>
          <w:kern w:val="0"/>
          <w:sz w:val="27"/>
          <w:szCs w:val="27"/>
          <w:lang w:eastAsia="es-ES"/>
        </w:rPr>
        <w:br/>
        <w:t>• Trato de favor.</w:t>
      </w:r>
    </w:p>
    <w:p w14:paraId="1D7F652B" w14:textId="77777777" w:rsidR="001643D6" w:rsidRDefault="001643D6"/>
    <w:sectPr w:rsidR="001643D6"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9567BD" w14:textId="77777777" w:rsidR="00EE2FCD" w:rsidRDefault="00EE2FCD">
      <w:pPr>
        <w:spacing w:after="0" w:line="240" w:lineRule="auto"/>
      </w:pPr>
      <w:r>
        <w:separator/>
      </w:r>
    </w:p>
  </w:endnote>
  <w:endnote w:type="continuationSeparator" w:id="0">
    <w:p w14:paraId="6EE4C775" w14:textId="77777777" w:rsidR="00EE2FCD" w:rsidRDefault="00EE2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AD8A30" w14:textId="77777777" w:rsidR="00EE2FCD" w:rsidRDefault="00EE2FC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AB2562B" w14:textId="77777777" w:rsidR="00EE2FCD" w:rsidRDefault="00EE2F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643D6"/>
    <w:rsid w:val="001643D6"/>
    <w:rsid w:val="003E1D93"/>
    <w:rsid w:val="006C2D4C"/>
    <w:rsid w:val="008301C7"/>
    <w:rsid w:val="00EE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48046"/>
  <w15:docId w15:val="{A4BAFA72-2055-462C-AED2-131F9D1A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Times New Roman"/>
        <w:kern w:val="3"/>
        <w:sz w:val="22"/>
        <w:szCs w:val="22"/>
        <w:lang w:val="es-ES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basedOn w:val="Fuentedeprrafopredeter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basedOn w:val="Fuentedeprrafopredeter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basedOn w:val="Fuentedeprrafopredeter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basedOn w:val="Fuentedeprrafopredeter"/>
    <w:rPr>
      <w:rFonts w:eastAsia="Times New Roman" w:cs="Times New Roman"/>
      <w:color w:val="0F4761"/>
    </w:rPr>
  </w:style>
  <w:style w:type="character" w:customStyle="1" w:styleId="Ttulo6Car">
    <w:name w:val="Título 6 Car"/>
    <w:basedOn w:val="Fuentedeprrafopredeter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basedOn w:val="Fuentedeprrafopredeter"/>
    <w:rPr>
      <w:rFonts w:eastAsia="Times New Roman" w:cs="Times New Roman"/>
      <w:color w:val="595959"/>
    </w:rPr>
  </w:style>
  <w:style w:type="character" w:customStyle="1" w:styleId="Ttulo8Car">
    <w:name w:val="Título 8 Car"/>
    <w:basedOn w:val="Fuentedeprrafopredeter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basedOn w:val="Fuentedeprrafopredeter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tuloCar">
    <w:name w:val="Título Car"/>
    <w:basedOn w:val="Fuentedeprrafopredeter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tuloCar">
    <w:name w:val="Subtítulo Car"/>
    <w:basedOn w:val="Fuentedeprrafopredeter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basedOn w:val="Fuentedeprrafopredeter"/>
    <w:rPr>
      <w:i/>
      <w:iCs/>
      <w:color w:val="404040"/>
    </w:rPr>
  </w:style>
  <w:style w:type="paragraph" w:styleId="Prrafodelista">
    <w:name w:val="List Paragraph"/>
    <w:basedOn w:val="Normal"/>
    <w:pPr>
      <w:ind w:left="720"/>
      <w:contextualSpacing/>
    </w:pPr>
  </w:style>
  <w:style w:type="character" w:styleId="nfasisintenso">
    <w:name w:val="Intense Emphasis"/>
    <w:basedOn w:val="Fuentedeprrafopredeter"/>
    <w:rPr>
      <w:i/>
      <w:iCs/>
      <w:color w:val="0F4761"/>
    </w:rPr>
  </w:style>
  <w:style w:type="paragraph" w:styleId="Citadestacada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destacadaCar">
    <w:name w:val="Cita destacada Car"/>
    <w:basedOn w:val="Fuentedeprrafopredeter"/>
    <w:rPr>
      <w:i/>
      <w:iCs/>
      <w:color w:val="0F4761"/>
    </w:rPr>
  </w:style>
  <w:style w:type="character" w:styleId="Referenciaintensa">
    <w:name w:val="Intense Reference"/>
    <w:basedOn w:val="Fuentedeprrafopredeter"/>
    <w:rPr>
      <w:b/>
      <w:bCs/>
      <w:smallCaps/>
      <w:color w:val="0F4761"/>
      <w:spacing w:val="5"/>
    </w:rPr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/>
      <w:kern w:val="0"/>
      <w:sz w:val="24"/>
      <w:szCs w:val="24"/>
      <w:lang w:eastAsia="es-ES"/>
    </w:rPr>
  </w:style>
  <w:style w:type="character" w:customStyle="1" w:styleId="elementor-button-text">
    <w:name w:val="elementor-button-text"/>
    <w:basedOn w:val="Fuentedeprrafoprede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40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186B1DF8D75542B7597CE8A7D08C3A" ma:contentTypeVersion="13" ma:contentTypeDescription="Crear nuevo documento." ma:contentTypeScope="" ma:versionID="9c4c3a27cf368ce743230ee5d22f283d">
  <xsd:schema xmlns:xsd="http://www.w3.org/2001/XMLSchema" xmlns:xs="http://www.w3.org/2001/XMLSchema" xmlns:p="http://schemas.microsoft.com/office/2006/metadata/properties" xmlns:ns2="298a4a7e-4309-4c73-8de3-613be022bee9" xmlns:ns3="c4ac5c18-a7eb-4c1f-bf90-54f6f20d793a" targetNamespace="http://schemas.microsoft.com/office/2006/metadata/properties" ma:root="true" ma:fieldsID="191f7d553b642396264dcf196eec7ee6" ns2:_="" ns3:_="">
    <xsd:import namespace="298a4a7e-4309-4c73-8de3-613be022bee9"/>
    <xsd:import namespace="c4ac5c18-a7eb-4c1f-bf90-54f6f20d79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8a4a7e-4309-4c73-8de3-613be022be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c5c18-a7eb-4c1f-bf90-54f6f20d79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afd1cbef-4039-409d-9b8f-6031f7d221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ac5c18-a7eb-4c1f-bf90-54f6f20d793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FD1242-9A42-4A29-B6E7-209B265D52CC}"/>
</file>

<file path=customXml/itemProps2.xml><?xml version="1.0" encoding="utf-8"?>
<ds:datastoreItem xmlns:ds="http://schemas.openxmlformats.org/officeDocument/2006/customXml" ds:itemID="{FC22AE55-8BEB-4DC9-929C-8098F435F81C}"/>
</file>

<file path=customXml/itemProps3.xml><?xml version="1.0" encoding="utf-8"?>
<ds:datastoreItem xmlns:ds="http://schemas.openxmlformats.org/officeDocument/2006/customXml" ds:itemID="{E8226640-2CA1-45E8-8407-761E3D2C6A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860</Words>
  <Characters>4732</Characters>
  <Application>Microsoft Office Word</Application>
  <DocSecurity>0</DocSecurity>
  <Lines>39</Lines>
  <Paragraphs>11</Paragraphs>
  <ScaleCrop>false</ScaleCrop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Díaz García</dc:creator>
  <dc:description/>
  <cp:lastModifiedBy>Sergio Díaz García</cp:lastModifiedBy>
  <cp:revision>2</cp:revision>
  <cp:lastPrinted>2024-07-09T13:12:00Z</cp:lastPrinted>
  <dcterms:created xsi:type="dcterms:W3CDTF">2024-07-09T13:14:00Z</dcterms:created>
  <dcterms:modified xsi:type="dcterms:W3CDTF">2024-07-09T13:14:00Z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0x0101003D186B1DF8D75542B7597CE8A7D08C3A</vt:lpwstr>
  </property>
</Properties>
</file>